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right="0"/>
        <w:jc w:val="both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highlight w:val="none"/>
          <w:lang w:val="en-US" w:eastAsia="zh-CN"/>
        </w:rPr>
        <w:t>2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firstLine="640" w:firstLineChars="200"/>
        <w:jc w:val="both"/>
        <w:rPr>
          <w:rFonts w:hint="eastAsia" w:ascii="黑体" w:hAnsi="黑体" w:eastAsia="黑体"/>
          <w:color w:val="000000"/>
          <w:kern w:val="0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napToGrid w:val="0"/>
          <w:kern w:val="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napToGrid w:val="0"/>
          <w:kern w:val="0"/>
          <w:sz w:val="44"/>
          <w:szCs w:val="44"/>
          <w:highlight w:val="none"/>
        </w:rPr>
        <w:t>关于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napToGrid w:val="0"/>
          <w:kern w:val="0"/>
          <w:sz w:val="44"/>
          <w:szCs w:val="44"/>
          <w:highlight w:val="none"/>
          <w:lang w:eastAsia="zh-CN"/>
        </w:rPr>
        <w:t>《湛江市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napToGrid w:val="0"/>
          <w:kern w:val="0"/>
          <w:sz w:val="44"/>
          <w:szCs w:val="44"/>
          <w:highlight w:val="none"/>
        </w:rPr>
        <w:t>生猪产能调控实施方案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napToGrid w:val="0"/>
          <w:kern w:val="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napToGrid w:val="0"/>
          <w:kern w:val="0"/>
          <w:sz w:val="44"/>
          <w:szCs w:val="44"/>
          <w:highlight w:val="none"/>
        </w:rPr>
        <w:t>（暂行）》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napToGrid w:val="0"/>
          <w:kern w:val="0"/>
          <w:sz w:val="44"/>
          <w:szCs w:val="44"/>
          <w:highlight w:val="none"/>
          <w:lang w:eastAsia="zh-CN"/>
        </w:rPr>
        <w:t>的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napToGrid w:val="0"/>
          <w:kern w:val="0"/>
          <w:sz w:val="44"/>
          <w:szCs w:val="44"/>
          <w:highlight w:val="none"/>
        </w:rPr>
        <w:t>起草说明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snapToGrid w:val="0"/>
          <w:kern w:val="0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firstLine="640" w:firstLineChars="200"/>
        <w:jc w:val="both"/>
        <w:rPr>
          <w:rFonts w:hint="eastAsia" w:ascii="仿宋_GB2312" w:hAnsi="仿宋_GB2312" w:eastAsia="仿宋_GB2312" w:cs="仿宋_GB2312"/>
          <w:b w:val="0"/>
          <w:bCs w:val="0"/>
          <w:color w:val="1928F3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为贯彻落实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《农业农村部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国家发展改革委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财政部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生态环境部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商务部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银保监会关于促进生猪产业持续健康发展的意见》（农牧发〔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2021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〕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24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号）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eastAsia="zh-CN"/>
        </w:rPr>
        <w:t>和《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农业农村部关于印发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〈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生猪产能调控实施方案（暂行）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〉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</w:rPr>
        <w:t>的通知》(农牧发〔2021〕27号)，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根据《广东省农业农村厅关于印发〈广东省生猪产能调控实施方案（暂行）〉的通知》（粤农农规〔2022〕1号）精神，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highlight w:val="none"/>
          <w:lang w:val="en-US" w:eastAsia="zh-CN"/>
        </w:rPr>
        <w:t>我局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在深入调查研究、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eastAsia="zh-CN"/>
        </w:rPr>
        <w:t>广泛听取意见的基础上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/>
        </w:rPr>
        <w:t>起草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0"/>
          <w:sz w:val="32"/>
          <w:szCs w:val="32"/>
          <w:highlight w:val="none"/>
          <w:lang w:val="en-US" w:eastAsia="zh-CN"/>
        </w:rPr>
        <w:t>了《湛江市生猪产能调控实施方案（暂行）》（征求意见稿）。</w:t>
      </w:r>
      <w:r>
        <w:rPr>
          <w:rFonts w:hint="eastAsia" w:ascii="仿宋_GB2312" w:hAnsi="仿宋_GB2312" w:eastAsia="仿宋_GB2312" w:cs="仿宋_GB2312"/>
          <w:b w:val="0"/>
          <w:bCs w:val="0"/>
          <w:snapToGrid/>
          <w:color w:val="auto"/>
          <w:kern w:val="0"/>
          <w:sz w:val="32"/>
          <w:szCs w:val="32"/>
          <w:highlight w:val="none"/>
          <w:lang w:eastAsia="zh-CN"/>
        </w:rPr>
        <w:t>现将起草说明如下：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firstLine="640" w:firstLineChars="200"/>
        <w:jc w:val="both"/>
        <w:rPr>
          <w:rFonts w:hint="eastAsia" w:ascii="黑体" w:hAnsi="黑体" w:eastAsia="黑体" w:cs="黑体"/>
          <w:b w:val="0"/>
          <w:bCs w:val="0"/>
          <w:snapToGrid w:val="0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 w:val="0"/>
          <w:snapToGrid w:val="0"/>
          <w:kern w:val="0"/>
          <w:sz w:val="32"/>
          <w:szCs w:val="32"/>
          <w:highlight w:val="none"/>
        </w:rPr>
        <w:t>一、起草背景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napToGrid/>
          <w:color w:val="auto"/>
          <w:kern w:val="0"/>
          <w:sz w:val="32"/>
          <w:szCs w:val="32"/>
          <w:highlight w:val="none"/>
        </w:rPr>
        <w:t>近几轮“猪周期”波动表明，做好生猪稳产保供工作，必须以稳固的基础产能作为支撑。能繁母猪是生猪生产的基础和市场供应的“总开关”，只要能繁母猪存栏量变动保持在合理区间，仔猪生产就有保障，生猪市场供应和猪肉价格就能保持相对稳定。</w:t>
      </w:r>
      <w:r>
        <w:rPr>
          <w:rFonts w:hint="eastAsia" w:ascii="仿宋_GB2312" w:hAnsi="仿宋_GB2312" w:eastAsia="仿宋_GB2312" w:cs="仿宋_GB2312"/>
          <w:b w:val="0"/>
          <w:bCs w:val="0"/>
          <w:snapToGrid/>
          <w:color w:val="auto"/>
          <w:kern w:val="0"/>
          <w:sz w:val="32"/>
          <w:szCs w:val="32"/>
          <w:highlight w:val="none"/>
          <w:lang w:eastAsia="zh-CN"/>
        </w:rPr>
        <w:t>因此，要从</w:t>
      </w:r>
      <w:r>
        <w:rPr>
          <w:rFonts w:hint="eastAsia" w:ascii="仿宋_GB2312" w:hAnsi="仿宋_GB2312" w:eastAsia="仿宋_GB2312" w:cs="仿宋_GB2312"/>
          <w:b w:val="0"/>
          <w:bCs w:val="0"/>
          <w:snapToGrid/>
          <w:color w:val="auto"/>
          <w:kern w:val="0"/>
          <w:sz w:val="32"/>
          <w:szCs w:val="32"/>
          <w:highlight w:val="none"/>
        </w:rPr>
        <w:t>生产环节着手</w:t>
      </w:r>
      <w:r>
        <w:rPr>
          <w:rFonts w:hint="eastAsia" w:ascii="仿宋_GB2312" w:hAnsi="仿宋_GB2312" w:eastAsia="仿宋_GB2312" w:cs="仿宋_GB2312"/>
          <w:b w:val="0"/>
          <w:bCs w:val="0"/>
          <w:snapToGrid/>
          <w:color w:val="auto"/>
          <w:kern w:val="0"/>
          <w:sz w:val="32"/>
          <w:szCs w:val="32"/>
          <w:highlight w:val="none"/>
          <w:lang w:eastAsia="zh-CN"/>
        </w:rPr>
        <w:t>，以能繁母猪存栏量变化率为生猪产能核心调控指标，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建立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生猪生产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跨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周期调控机制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。2022年1月25日，省</w:t>
      </w:r>
      <w:r>
        <w:rPr>
          <w:rFonts w:hint="eastAsia" w:ascii="仿宋_GB2312" w:hAnsi="仿宋_GB2312" w:eastAsia="仿宋_GB2312" w:cs="仿宋_GB2312"/>
          <w:b w:val="0"/>
          <w:bCs w:val="0"/>
          <w:snapToGrid/>
          <w:color w:val="auto"/>
          <w:kern w:val="0"/>
          <w:sz w:val="32"/>
          <w:szCs w:val="32"/>
          <w:highlight w:val="none"/>
          <w:lang w:eastAsia="zh-CN"/>
        </w:rPr>
        <w:t>农业农村厅印发了《广东省生猪产能调控实施方案（暂行）》，下达了我市能繁母猪保有量、能繁母猪最低</w:t>
      </w:r>
      <w:r>
        <w:rPr>
          <w:rStyle w:val="7"/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保有量</w:t>
      </w:r>
      <w:r>
        <w:rPr>
          <w:rStyle w:val="7"/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和规模猪场（户）保有量等调控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目标。根据省农业农村厅的有关要求，我市应结合实际情况，制定市级生猪产能调控实施方案，将全市目标分解下达到各县（市、区），</w:t>
      </w:r>
      <w:r>
        <w:rPr>
          <w:rFonts w:hint="eastAsia" w:ascii="仿宋_GB2312" w:hAnsi="仿宋_GB2312" w:eastAsia="仿宋_GB2312" w:cs="仿宋_GB2312"/>
          <w:b w:val="0"/>
          <w:bCs w:val="0"/>
          <w:snapToGrid/>
          <w:color w:val="auto"/>
          <w:kern w:val="0"/>
          <w:sz w:val="32"/>
          <w:szCs w:val="32"/>
          <w:highlight w:val="none"/>
          <w:lang w:eastAsia="zh-CN"/>
        </w:rPr>
        <w:t>分级建立生猪产能调控基地，构建上下联动、响应及时的生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猪生产跨周期调控机制，促进生猪产业持续健康发展。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firstLine="640" w:firstLineChars="200"/>
        <w:jc w:val="both"/>
        <w:rPr>
          <w:rFonts w:hint="eastAsia" w:ascii="黑体" w:hAnsi="黑体" w:eastAsia="黑体" w:cs="黑体"/>
          <w:b w:val="0"/>
          <w:bCs w:val="0"/>
          <w:snapToGrid w:val="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napToGrid w:val="0"/>
          <w:kern w:val="0"/>
          <w:sz w:val="32"/>
          <w:szCs w:val="32"/>
          <w:highlight w:val="none"/>
          <w:lang w:val="en-US" w:eastAsia="zh-CN"/>
        </w:rPr>
        <w:t>二、政策依据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1.《农业农村部 国家发展改革委 财政部 生态环境部 商务部 银保监会关于促进生猪产业持续健康发展的意见》（农牧发〔2021〕24号）。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2.《农业农村部关于印发〈生猪产能调控实施方案（暂行）〉的通知》(农牧发〔2021〕27号)。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640" w:firstLineChars="20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3.《广东省农业农村厅关于印发〈广东省生猪产能调控实施方案（暂行）〉的通知》（粤农农规〔2022〕1号）。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firstLine="640" w:firstLineChars="200"/>
        <w:jc w:val="both"/>
        <w:rPr>
          <w:rFonts w:hint="eastAsia" w:ascii="黑体" w:hAnsi="黑体" w:eastAsia="黑体" w:cs="黑体"/>
          <w:b w:val="0"/>
          <w:bCs w:val="0"/>
          <w:snapToGrid w:val="0"/>
          <w:kern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 w:val="0"/>
          <w:snapToGrid w:val="0"/>
          <w:kern w:val="0"/>
          <w:sz w:val="32"/>
          <w:szCs w:val="32"/>
          <w:highlight w:val="none"/>
          <w:lang w:eastAsia="zh-CN"/>
        </w:rPr>
        <w:t>三</w:t>
      </w:r>
      <w:r>
        <w:rPr>
          <w:rFonts w:hint="eastAsia" w:ascii="黑体" w:hAnsi="黑体" w:eastAsia="黑体" w:cs="黑体"/>
          <w:b w:val="0"/>
          <w:bCs w:val="0"/>
          <w:snapToGrid w:val="0"/>
          <w:kern w:val="0"/>
          <w:sz w:val="32"/>
          <w:szCs w:val="32"/>
          <w:highlight w:val="none"/>
        </w:rPr>
        <w:t>、主要内容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highlight w:val="none"/>
          <w:lang w:eastAsia="zh-CN"/>
        </w:rPr>
        <w:t>（一）总体要求。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提出从生产环节入手，以能繁母猪存栏量变化率为核心调控指标，建立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生猪生产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跨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周期调控机制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分级建立生猪产能调控基地，稳固生猪基础生产能力，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促进生猪产业持续健康发展，提升猪肉供应安全保障能力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highlight w:val="none"/>
          <w:lang w:val="zh-TW" w:eastAsia="zh-CN"/>
        </w:rPr>
        <w:t>（二）调控能繁母猪存栏量。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zh-TW" w:eastAsia="zh-CN"/>
        </w:rPr>
        <w:t>明确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“十四五”期间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，我市全市能繁母猪保有量稳定在21.88万头左右，最低保有量不低于19.69万头，并采用因素法将全市目标分解下达到各县（市、区）。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32"/>
          <w:szCs w:val="32"/>
          <w:highlight w:val="none"/>
          <w:lang w:eastAsia="zh-CN"/>
        </w:rPr>
        <w:t>根据全市能繁母猪月度存栏变化的不同情形，划分绿色、黄色和红色3个调控区域，并明确相应的调控措施，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促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使能繁母猪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保有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量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回归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至合理水平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napToGrid w:val="0"/>
          <w:color w:val="000000" w:themeColor="text1"/>
          <w:kern w:val="0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highlight w:val="none"/>
          <w:lang w:val="en-US" w:eastAsia="zh-CN"/>
        </w:rPr>
        <w:t>（三）调控生猪规模养殖产能</w:t>
      </w: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明确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“十四五”期间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32"/>
          <w:szCs w:val="32"/>
          <w:highlight w:val="none"/>
          <w:lang w:eastAsia="zh-CN"/>
        </w:rPr>
        <w:t>我市年出栏500头以上的规模猪场（户）保有量稳定在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32"/>
          <w:szCs w:val="32"/>
          <w:highlight w:val="none"/>
          <w:lang w:val="en-US" w:eastAsia="zh-CN"/>
        </w:rPr>
        <w:t>490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32"/>
          <w:szCs w:val="32"/>
          <w:highlight w:val="none"/>
          <w:lang w:eastAsia="zh-CN"/>
        </w:rPr>
        <w:t>个以上，并</w:t>
      </w:r>
      <w:r>
        <w:rPr>
          <w:rFonts w:hint="eastAsia" w:ascii="仿宋_GB2312" w:hAnsi="仿宋_GB2312" w:eastAsia="仿宋_GB2312" w:cs="仿宋_GB2312"/>
          <w:b w:val="0"/>
          <w:snapToGrid w:val="0"/>
          <w:color w:val="auto"/>
          <w:kern w:val="0"/>
          <w:sz w:val="32"/>
          <w:szCs w:val="32"/>
          <w:highlight w:val="none"/>
          <w:u w:val="none"/>
          <w:shd w:val="clear" w:color="auto" w:fill="auto"/>
          <w:lang w:eastAsia="zh-CN"/>
        </w:rPr>
        <w:t>采用因素法</w:t>
      </w:r>
      <w:r>
        <w:rPr>
          <w:rFonts w:hint="eastAsia" w:ascii="仿宋_GB2312" w:hAnsi="仿宋_GB2312" w:eastAsia="仿宋_GB2312" w:cs="仿宋_GB2312"/>
          <w:b w:val="0"/>
          <w:snapToGrid w:val="0"/>
          <w:color w:val="auto"/>
          <w:kern w:val="0"/>
          <w:sz w:val="32"/>
          <w:szCs w:val="32"/>
          <w:highlight w:val="none"/>
          <w:u w:val="none"/>
          <w:shd w:val="clear" w:color="auto" w:fill="auto"/>
          <w:lang w:val="en-US" w:eastAsia="zh-CN"/>
        </w:rPr>
        <w:t>将全市目标</w:t>
      </w:r>
      <w:r>
        <w:rPr>
          <w:rFonts w:hint="eastAsia" w:ascii="仿宋_GB2312" w:hAnsi="仿宋_GB2312" w:eastAsia="仿宋_GB2312" w:cs="仿宋_GB2312"/>
          <w:b w:val="0"/>
          <w:snapToGrid w:val="0"/>
          <w:color w:val="auto"/>
          <w:kern w:val="0"/>
          <w:sz w:val="32"/>
          <w:szCs w:val="32"/>
          <w:highlight w:val="none"/>
          <w:lang w:eastAsia="zh-CN"/>
        </w:rPr>
        <w:t>分解下达到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各县（市、区）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32"/>
          <w:szCs w:val="32"/>
          <w:highlight w:val="none"/>
          <w:lang w:val="en-US" w:eastAsia="zh-CN"/>
        </w:rPr>
        <w:t>。分级建立产能调控基地，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000000" w:themeColor="text1"/>
          <w:kern w:val="0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制定了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lang w:val="en-US"/>
          <w14:textFill>
            <w14:solidFill>
              <w14:schemeClr w14:val="tx1"/>
            </w14:solidFill>
          </w14:textFill>
        </w:rPr>
        <w:t>国家级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、省级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lang w:val="en-US"/>
          <w14:textFill>
            <w14:solidFill>
              <w14:schemeClr w14:val="tx1"/>
            </w14:solidFill>
          </w14:textFill>
        </w:rPr>
        <w:t>生猪产能调控基地</w:t>
      </w:r>
      <w:r>
        <w:rPr>
          <w:rFonts w:hint="eastAsia" w:ascii="仿宋_GB2312" w:hAnsi="仿宋_GB2312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的建设标准、标牌式样及授牌条件。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0" w:lineRule="exact"/>
        <w:ind w:left="0" w:leftChars="0" w:right="0" w:rightChars="0" w:firstLine="640" w:firstLineChars="200"/>
        <w:jc w:val="both"/>
        <w:textAlignment w:val="auto"/>
        <w:rPr>
          <w:rStyle w:val="7"/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highlight w:val="none"/>
          <w:lang w:val="en-US" w:eastAsia="zh-CN"/>
        </w:rPr>
        <w:t>（四）</w:t>
      </w: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highlight w:val="none"/>
          <w:lang w:eastAsia="zh-CN"/>
        </w:rPr>
        <w:t>支持政策。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</w:pPr>
      <w:r>
        <w:rPr>
          <w:rStyle w:val="7"/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维护养殖生产稳定。各县（市、区）要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0"/>
          <w:kern w:val="0"/>
          <w:sz w:val="32"/>
          <w:szCs w:val="32"/>
          <w:highlight w:val="none"/>
          <w:lang w:eastAsia="zh-CN"/>
        </w:rPr>
        <w:t>保持规模猪场（户）数量总体稳定，不得违法建设、拆除和擅自改变养殖用途。确需拆除的，要安排养殖用地异地重建，并给予合理经济补偿。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省级以上生猪产能调控基地确需拆除或关停的，应规划新增或改扩建同等产能的调控基地，并向省农业农村厅报备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强化财政资金保障。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将生猪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产能调控基地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列为重点支持名录，统筹相关项目资金予以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优先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支持。当出现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能繁母猪存栏量大幅减少或生猪养殖连续严重亏损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个月以上时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，可根据实际情况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对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挂牌的生猪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产能调控基地予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以一次性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临时救助补贴。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  <w:t>加大金融支持力度。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对列入重点支持名录的各级生猪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产能调控基地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，在信贷投放、保险等方面给予优先支持、重点倾斜，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不得随意限贷、抽贷、断贷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spacing w:val="0"/>
          <w:w w:val="100"/>
          <w:kern w:val="0"/>
          <w:sz w:val="32"/>
          <w:szCs w:val="32"/>
          <w:highlight w:val="none"/>
          <w:u w:val="none"/>
          <w:lang w:val="en-US" w:eastAsia="zh-CN" w:bidi="ar"/>
        </w:rPr>
        <w:t>推广实施“生猪活体抵押贷款”“真猪贷”“生猪保险+期货”等金融创新产品，加强农业基金对生猪养殖场的投资，支持生猪产业主体上市融资、发债融资，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深入推进实施生猪养殖保险等，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spacing w:val="0"/>
          <w:w w:val="100"/>
          <w:kern w:val="0"/>
          <w:sz w:val="32"/>
          <w:szCs w:val="32"/>
          <w:highlight w:val="none"/>
          <w:u w:val="none"/>
          <w:lang w:val="en-US" w:eastAsia="zh-CN" w:bidi="ar"/>
        </w:rPr>
        <w:t>增强生猪产业融资能力和风险保障。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/>
        </w:rPr>
        <w:t>4.</w:t>
      </w:r>
      <w:r>
        <w:rPr>
          <w:rStyle w:val="7"/>
          <w:rFonts w:hint="eastAsia" w:ascii="仿宋_GB2312" w:hAnsi="仿宋_GB2312" w:eastAsia="仿宋_GB2312" w:cs="仿宋_GB2312"/>
          <w:b w:val="0"/>
          <w:i w:val="0"/>
          <w:caps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推进产业转型升级。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大力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发展标准化、规模化、生态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化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绿色养殖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，持续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开展标准化养殖场和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现代化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美丽牧场示范创建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eastAsia="zh-CN"/>
        </w:rPr>
        <w:t>，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</w:rPr>
        <w:t>推动屠宰产业提质增效，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kern w:val="0"/>
          <w:sz w:val="32"/>
          <w:szCs w:val="32"/>
          <w:highlight w:val="none"/>
          <w:shd w:val="clear" w:color="auto" w:fill="FFFFFF"/>
          <w:lang w:eastAsia="zh-CN"/>
        </w:rPr>
        <w:t>支持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建设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生猪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跨县产业集群和特色产业园，培育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生猪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kern w:val="0"/>
          <w:sz w:val="32"/>
          <w:szCs w:val="32"/>
          <w:highlight w:val="none"/>
          <w:lang w:val="en-US" w:eastAsia="zh-CN" w:bidi="ar-SA"/>
        </w:rPr>
        <w:t>全产业链项目。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59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00000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32"/>
          <w:szCs w:val="32"/>
          <w:highlight w:val="none"/>
          <w:lang w:eastAsia="zh-CN"/>
        </w:rPr>
        <w:t>（五）保障措施。</w:t>
      </w:r>
      <w:r>
        <w:rPr>
          <w:rFonts w:hint="eastAsia" w:ascii="楷体_GB2312" w:hAnsi="楷体_GB2312" w:eastAsia="楷体_GB2312" w:cs="楷体_GB2312"/>
          <w:b/>
          <w:bCs/>
          <w:color w:val="auto"/>
          <w:kern w:val="0"/>
          <w:sz w:val="32"/>
          <w:szCs w:val="32"/>
          <w:highlight w:val="none"/>
          <w:lang w:eastAsia="zh-CN"/>
        </w:rPr>
        <w:t>一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napToGrid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snapToGrid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保持政策稳定；二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snapToGrid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是</w:t>
      </w:r>
      <w:r>
        <w:rPr>
          <w:rStyle w:val="7"/>
          <w:rFonts w:hint="eastAsia" w:ascii="仿宋_GB2312" w:hAnsi="仿宋_GB2312" w:eastAsia="仿宋_GB2312" w:cs="仿宋_GB2312"/>
          <w:b w:val="0"/>
          <w:i w:val="0"/>
          <w:caps w:val="0"/>
          <w:snapToGrid w:val="0"/>
          <w:color w:val="auto"/>
          <w:spacing w:val="0"/>
          <w:kern w:val="0"/>
          <w:sz w:val="32"/>
          <w:szCs w:val="32"/>
          <w:highlight w:val="none"/>
          <w:lang w:val="en-US"/>
        </w:rPr>
        <w:t>加强监测预警</w:t>
      </w:r>
      <w:r>
        <w:rPr>
          <w:rStyle w:val="7"/>
          <w:rFonts w:hint="eastAsia" w:ascii="仿宋_GB2312" w:hAnsi="仿宋_GB2312" w:eastAsia="仿宋_GB2312" w:cs="仿宋_GB2312"/>
          <w:b w:val="0"/>
          <w:i w:val="0"/>
          <w:caps w:val="0"/>
          <w:snapToGrid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；</w:t>
      </w:r>
      <w:r>
        <w:rPr>
          <w:rStyle w:val="7"/>
          <w:rFonts w:hint="eastAsia" w:ascii="仿宋_GB2312" w:hAnsi="仿宋_GB2312" w:eastAsia="仿宋_GB2312" w:cs="仿宋_GB2312"/>
          <w:b/>
          <w:bCs/>
          <w:i w:val="0"/>
          <w:caps w:val="0"/>
          <w:snapToGrid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三是</w:t>
      </w:r>
      <w:r>
        <w:rPr>
          <w:rStyle w:val="7"/>
          <w:rFonts w:hint="eastAsia" w:ascii="仿宋_GB2312" w:hAnsi="仿宋_GB2312" w:eastAsia="仿宋_GB2312" w:cs="仿宋_GB2312"/>
          <w:b w:val="0"/>
          <w:i w:val="0"/>
          <w:caps w:val="0"/>
          <w:snapToGrid w:val="0"/>
          <w:color w:val="auto"/>
          <w:spacing w:val="0"/>
          <w:kern w:val="0"/>
          <w:sz w:val="32"/>
          <w:szCs w:val="32"/>
          <w:highlight w:val="none"/>
          <w:lang w:val="en-US" w:eastAsia="zh-CN"/>
        </w:rPr>
        <w:t>做好技术指导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32"/>
          <w:szCs w:val="32"/>
          <w:highlight w:val="none"/>
          <w:lang w:val="en-US" w:eastAsia="zh-CN"/>
        </w:rPr>
        <w:t>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highlight w:val="none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文泉驿微米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文泉驿微米黑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文泉驿微米黑"/>
    <w:panose1 w:val="02010609030101010101"/>
    <w:charset w:val="00"/>
    <w:family w:val="auto"/>
    <w:pitch w:val="default"/>
    <w:sig w:usb0="00000000" w:usb1="00000000" w:usb2="00000000" w:usb3="00000000" w:csb0="00040000" w:csb1="00000000"/>
  </w:font>
  <w:font w:name="方正小标宋简体">
    <w:altName w:val="文泉驿微米黑"/>
    <w:panose1 w:val="03000509000000000000"/>
    <w:charset w:val="00"/>
    <w:family w:val="auto"/>
    <w:pitch w:val="default"/>
    <w:sig w:usb0="00000000" w:usb1="00000000" w:usb2="00000000" w:usb3="00000000" w:csb0="00040000" w:csb1="00000000"/>
  </w:font>
  <w:font w:name="楷体_GB2312">
    <w:altName w:val="文泉驿微米黑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文泉驿微米黑">
    <w:panose1 w:val="020B0606030804020204"/>
    <w:charset w:val="86"/>
    <w:family w:val="auto"/>
    <w:pitch w:val="default"/>
    <w:sig w:usb0="E10002EF" w:usb1="6BDFFCFB" w:usb2="00800036" w:usb3="00000000" w:csb0="603E019F" w:csb1="DFD7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557D42A"/>
    <w:rsid w:val="26F94EE0"/>
    <w:rsid w:val="2EDE085E"/>
    <w:rsid w:val="2F2DF2D7"/>
    <w:rsid w:val="37E7E741"/>
    <w:rsid w:val="39EDA155"/>
    <w:rsid w:val="3D7DBFB0"/>
    <w:rsid w:val="3EB3FBAB"/>
    <w:rsid w:val="3FDCAAC5"/>
    <w:rsid w:val="3FFBF895"/>
    <w:rsid w:val="53DF0690"/>
    <w:rsid w:val="569DC18A"/>
    <w:rsid w:val="61BD7150"/>
    <w:rsid w:val="675723A2"/>
    <w:rsid w:val="6CB49A27"/>
    <w:rsid w:val="6F2B44ED"/>
    <w:rsid w:val="6FDB418D"/>
    <w:rsid w:val="755BFAD2"/>
    <w:rsid w:val="77CFFAAC"/>
    <w:rsid w:val="79BD209B"/>
    <w:rsid w:val="7B7ADC26"/>
    <w:rsid w:val="7BBF9B0D"/>
    <w:rsid w:val="7C7F52A9"/>
    <w:rsid w:val="7E6F807E"/>
    <w:rsid w:val="7EBF5C0E"/>
    <w:rsid w:val="7F3F3698"/>
    <w:rsid w:val="7F9A6C7E"/>
    <w:rsid w:val="9DBC9EF8"/>
    <w:rsid w:val="BFD70D45"/>
    <w:rsid w:val="BFEFE2F8"/>
    <w:rsid w:val="D5FF9AA1"/>
    <w:rsid w:val="D9FF56EF"/>
    <w:rsid w:val="DEBF951B"/>
    <w:rsid w:val="DFD7135B"/>
    <w:rsid w:val="E557D42A"/>
    <w:rsid w:val="E5EBE4D5"/>
    <w:rsid w:val="E7FFBE7A"/>
    <w:rsid w:val="EE7B85B0"/>
    <w:rsid w:val="EF76EB3C"/>
    <w:rsid w:val="F6902276"/>
    <w:rsid w:val="F77A0F62"/>
    <w:rsid w:val="F9CD5ECA"/>
    <w:rsid w:val="FCA90038"/>
    <w:rsid w:val="FE7A1AD0"/>
    <w:rsid w:val="FF5C44A1"/>
    <w:rsid w:val="FFC704CD"/>
    <w:rsid w:val="FFE97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2"/>
    </w:pPr>
    <w:rPr>
      <w:rFonts w:hint="eastAsia" w:ascii="宋体" w:hAnsi="宋体"/>
      <w:b/>
      <w:kern w:val="0"/>
      <w:sz w:val="27"/>
      <w:szCs w:val="27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unhideWhenUsed/>
    <w:qFormat/>
    <w:uiPriority w:val="99"/>
    <w:rPr>
      <w:rFonts w:ascii="Calibri" w:hAnsi="Calibri" w:eastAsia="宋体" w:cs="Times New Roman"/>
      <w:sz w:val="21"/>
      <w:szCs w:val="24"/>
    </w:rPr>
  </w:style>
  <w:style w:type="paragraph" w:styleId="4">
    <w:name w:val="toc 5"/>
    <w:basedOn w:val="1"/>
    <w:next w:val="1"/>
    <w:qFormat/>
    <w:uiPriority w:val="0"/>
    <w:pPr>
      <w:ind w:left="1680"/>
    </w:pPr>
    <w:rPr>
      <w:rFonts w:ascii="Calibri" w:hAnsi="Calibri" w:eastAsia="宋体" w:cs="Times New Roman"/>
      <w:sz w:val="21"/>
      <w:szCs w:val="24"/>
    </w:rPr>
  </w:style>
  <w:style w:type="character" w:styleId="7">
    <w:name w:val="Strong"/>
    <w:basedOn w:val="6"/>
    <w:qFormat/>
    <w:uiPriority w:val="0"/>
    <w:rPr>
      <w:b/>
    </w:rPr>
  </w:style>
  <w:style w:type="paragraph" w:customStyle="1" w:styleId="8">
    <w:name w:val="p0"/>
    <w:basedOn w:val="1"/>
    <w:qFormat/>
    <w:uiPriority w:val="0"/>
    <w:pPr>
      <w:widowControl/>
    </w:pPr>
    <w:rPr>
      <w:rFonts w:eastAsia="仿宋_GB2312"/>
      <w:snapToGrid w:val="0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36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2022-03-23T16:59:00Z</dcterms:created>
  <dc:creator>落叶知秋</dc:creator>
  <cp:lastModifiedBy>落叶知秋</cp:lastModifiedBy>
  <dcterms:modified xsi:type="dcterms:W3CDTF">2022-03-28T10:51:12Z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