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湛农通〔2018〕111号</w:t>
      </w:r>
    </w:p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cs="Times New Roman" w:eastAsiaTheme="majorEastAsia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关于印发《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val="en-US" w:eastAsia="zh-CN"/>
        </w:rPr>
        <w:t>2018年</w:t>
      </w:r>
      <w:r>
        <w:rPr>
          <w:rFonts w:hint="default" w:ascii="Times New Roman" w:hAnsi="Times New Roman" w:cs="Times New Roman" w:eastAsiaTheme="majorEastAsia"/>
          <w:b/>
          <w:bCs/>
          <w:color w:val="000000"/>
          <w:sz w:val="44"/>
          <w:szCs w:val="44"/>
          <w:shd w:val="clear" w:color="auto" w:fill="FFFFFF"/>
        </w:rPr>
        <w:t>秸秆禁烧</w:t>
      </w:r>
    </w:p>
    <w:p>
      <w:pPr>
        <w:jc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ajorEastAsia"/>
          <w:b/>
          <w:bCs/>
          <w:color w:val="000000"/>
          <w:sz w:val="44"/>
          <w:szCs w:val="44"/>
          <w:shd w:val="clear" w:color="auto" w:fill="FFFFFF"/>
          <w:lang w:eastAsia="zh-CN"/>
        </w:rPr>
        <w:t>和综合利用</w:t>
      </w:r>
      <w:r>
        <w:rPr>
          <w:rFonts w:hint="default" w:ascii="Times New Roman" w:hAnsi="Times New Roman" w:cs="Times New Roman" w:eastAsiaTheme="majorEastAsia"/>
          <w:b/>
          <w:bCs/>
          <w:color w:val="000000"/>
          <w:sz w:val="44"/>
          <w:szCs w:val="44"/>
          <w:shd w:val="clear" w:color="auto" w:fill="FFFFFF"/>
        </w:rPr>
        <w:t>工作</w:t>
      </w:r>
      <w:r>
        <w:rPr>
          <w:rFonts w:hint="default" w:ascii="Times New Roman" w:hAnsi="Times New Roman" w:cs="Times New Roman" w:eastAsiaTheme="majorEastAsia"/>
          <w:b/>
          <w:bCs/>
          <w:color w:val="000000"/>
          <w:sz w:val="44"/>
          <w:szCs w:val="44"/>
          <w:shd w:val="clear" w:color="auto" w:fill="FFFFFF"/>
          <w:lang w:eastAsia="zh-CN"/>
        </w:rPr>
        <w:t>方案</w:t>
      </w: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  <w:lang w:eastAsia="zh-CN"/>
        </w:rPr>
        <w:t>》的通知</w:t>
      </w:r>
    </w:p>
    <w:p>
      <w:pPr>
        <w:jc w:val="both"/>
        <w:rPr>
          <w:rFonts w:hint="default" w:ascii="Times New Roman" w:hAnsi="Times New Roman" w:eastAsia="仿宋_GB2312" w:cs="Times New Roman"/>
          <w:sz w:val="44"/>
          <w:szCs w:val="44"/>
          <w:lang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各县（市、区）农业局（农业事务管理局）：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现将湛江市《2018年秸秆禁烧和综合利用工作方案》印发给你们，请你们遵照本工作方案，做好秸秆禁烧工作。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附件：2018年秸秆禁烧和综合利用工作方案</w:t>
      </w: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 w:val="0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湛江市农业局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wordWrap w:val="0"/>
        <w:ind w:firstLine="64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2018年3月22日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>
      <w:pPr>
        <w:wordWrap/>
        <w:ind w:firstLine="64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ind w:firstLine="64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ind w:firstLine="64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ind w:firstLine="64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公开方式：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主动公开</w:t>
      </w:r>
    </w:p>
    <w:p>
      <w:pPr>
        <w:shd w:val="solid" w:color="FFFFFF" w:fill="auto"/>
        <w:autoSpaceDN w:val="0"/>
        <w:jc w:val="both"/>
        <w:rPr>
          <w:rFonts w:hint="eastAsia" w:ascii="黑体" w:hAnsi="黑体" w:eastAsia="黑体" w:cs="黑体"/>
          <w:b w:val="0"/>
          <w:bCs/>
          <w:color w:val="000000"/>
          <w:spacing w:val="1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13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shd w:val="solid" w:color="FFFFFF" w:fill="auto"/>
        <w:autoSpaceDN w:val="0"/>
        <w:jc w:val="both"/>
        <w:rPr>
          <w:rFonts w:hint="eastAsia" w:ascii="黑体" w:hAnsi="黑体" w:eastAsia="黑体" w:cs="黑体"/>
          <w:b w:val="0"/>
          <w:bCs/>
          <w:color w:val="000000"/>
          <w:spacing w:val="13"/>
          <w:sz w:val="32"/>
          <w:szCs w:val="32"/>
          <w:shd w:val="clear" w:color="auto" w:fill="FFFFFF"/>
          <w:lang w:val="en-US" w:eastAsia="zh-CN"/>
        </w:rPr>
      </w:pPr>
    </w:p>
    <w:p>
      <w:pPr>
        <w:shd w:val="solid" w:color="FFFFFF" w:fill="auto"/>
        <w:autoSpaceDN w:val="0"/>
        <w:jc w:val="center"/>
        <w:rPr>
          <w:rFonts w:hint="eastAsia" w:cs="黑体" w:asciiTheme="majorEastAsia" w:hAnsiTheme="majorEastAsia" w:eastAsiaTheme="majorEastAsia"/>
          <w:b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cs="黑体" w:asciiTheme="majorEastAsia" w:hAnsiTheme="majorEastAsia" w:eastAsiaTheme="majorEastAsia"/>
          <w:b/>
          <w:color w:val="000000"/>
          <w:spacing w:val="13"/>
          <w:sz w:val="44"/>
          <w:szCs w:val="44"/>
          <w:shd w:val="clear" w:color="auto" w:fill="FFFFFF"/>
          <w:lang w:val="en-US" w:eastAsia="zh-CN"/>
        </w:rPr>
        <w:t>2018</w:t>
      </w:r>
      <w:r>
        <w:rPr>
          <w:rFonts w:hint="eastAsia" w:cs="黑体"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  <w:t>年秸秆禁烧</w:t>
      </w:r>
      <w:r>
        <w:rPr>
          <w:rFonts w:hint="eastAsia" w:cs="黑体" w:asciiTheme="majorEastAsia" w:hAnsiTheme="majorEastAsia" w:eastAsiaTheme="majorEastAsia"/>
          <w:b/>
          <w:color w:val="000000"/>
          <w:sz w:val="44"/>
          <w:szCs w:val="44"/>
          <w:shd w:val="clear" w:color="auto" w:fill="FFFFFF"/>
          <w:lang w:eastAsia="zh-CN"/>
        </w:rPr>
        <w:t>和综合利用</w:t>
      </w:r>
      <w:r>
        <w:rPr>
          <w:rFonts w:hint="eastAsia" w:cs="黑体" w:asciiTheme="majorEastAsia" w:hAnsiTheme="majorEastAsia" w:eastAsiaTheme="majorEastAsia"/>
          <w:b/>
          <w:color w:val="000000"/>
          <w:sz w:val="44"/>
          <w:szCs w:val="44"/>
          <w:shd w:val="clear" w:color="auto" w:fill="FFFFFF"/>
        </w:rPr>
        <w:t>工作</w:t>
      </w:r>
      <w:r>
        <w:rPr>
          <w:rFonts w:hint="eastAsia" w:cs="黑体" w:asciiTheme="majorEastAsia" w:hAnsiTheme="majorEastAsia" w:eastAsiaTheme="majorEastAsia"/>
          <w:b/>
          <w:color w:val="000000"/>
          <w:sz w:val="44"/>
          <w:szCs w:val="44"/>
          <w:shd w:val="clear" w:color="auto" w:fill="FFFFFF"/>
          <w:lang w:eastAsia="zh-CN"/>
        </w:rPr>
        <w:t>方案</w:t>
      </w:r>
    </w:p>
    <w:p>
      <w:pPr>
        <w:shd w:val="solid" w:color="FFFFFF" w:fill="auto"/>
        <w:autoSpaceDN w:val="0"/>
        <w:jc w:val="both"/>
        <w:rPr>
          <w:rFonts w:hint="eastAsia" w:cs="黑体" w:asciiTheme="majorEastAsia" w:hAnsiTheme="majorEastAsia" w:eastAsiaTheme="majorEastAsia"/>
          <w:b/>
          <w:color w:val="000000"/>
          <w:sz w:val="44"/>
          <w:szCs w:val="44"/>
          <w:shd w:val="clear" w:color="auto" w:fill="FFFFFF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《大气污染防治行动计划》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，扎实做好大气污染防治工作，改善我市空气环境质量，保障人民群众身体健康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，结合我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实际情况，特制定如下工作方案：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指导思想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科学发展观为指导，以保护大气环境、促进农民增收为目标，按照“标本兼治，堵疏并举”的原则，坚持秸秆禁烧与综合利用相结合，全面防控与重点治理相结合，行政推动与技术服务相结合，因地制宜，多措并举，高标准完成秸秆禁烧和综合利用工作任务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创造良好的大气环境。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工作目标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范围内禁止秸秆焚烧，进一步加强秸秆综合利用。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保障实施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（一）加强组织领导，履行监管职责。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露天焚烧秸秆不仅造成大气污染、破坏生态、浪费资源，还极易引发森林火灾。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各级农业部门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必须进一步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高度重视秸秆禁烧工作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的认识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切实组织领导，落实工作责任，确保秸秆禁烧各项工作落实到实处，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做好辖区范围内秸秆露天焚烧防控。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（二）宣传引导。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充分发挥舆论导向，大力宣传秸秆禁烧和综合利用的有关法律、法规和政策文件规定，组织基层农技术人员下乡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通过电视、报纸、广播电台等媒体，短信通知、张贴宣传标语等方式开展禁烧政策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宣传秸秆禁烧和综合利用的重要意义，创造良好的禁烧环境。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（三）大力推进秸秆还田和综合利用。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各地积极引导农民群众科学利用秸秆资源，把秸秆禁烧和综合利用变成农民群众的自觉行动。积极推广机械化秸秆粉碎还田工作，大力推广兼用绿肥作物，既可增加农民的经济收入，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又可肥田。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（四）应急处置响应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对发现的焚烧秸秆现象，出动人员及时进行处理，责令当地农业部门进行整改。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211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qBlWKNcAAAALAQAADwAA&#10;AAAAAAABACAAAAAiAAAAZHJzL2Rvd25yZXYueG1sUEsBAhQAFAAAAAgAh07iQOSzpqPCAgAA1gUA&#10;AA4AAAAAAAAAAQAgAAAAJgEAAGRycy9lMm9Eb2MueG1sUEsFBgAAAAAGAAYAWQEAAFo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705916"/>
    <w:multiLevelType w:val="singleLevel"/>
    <w:tmpl w:val="B27059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D0FA7"/>
    <w:rsid w:val="3D145162"/>
    <w:rsid w:val="4BE54CD2"/>
    <w:rsid w:val="5E8D4584"/>
    <w:rsid w:val="64FC3051"/>
    <w:rsid w:val="65881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CEE</cp:lastModifiedBy>
  <cp:lastPrinted>2018-03-22T09:16:10Z</cp:lastPrinted>
  <dcterms:modified xsi:type="dcterms:W3CDTF">2018-03-22T09:16:15Z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